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FE4FD8" w14:textId="60AADD11" w:rsidR="00751E16" w:rsidRPr="005712EF" w:rsidRDefault="00751E16" w:rsidP="00751E16">
      <w:pPr>
        <w:pStyle w:val="NormalWeb"/>
        <w:jc w:val="center"/>
        <w:rPr>
          <w:color w:val="000000"/>
          <w:u w:val="single"/>
        </w:rPr>
      </w:pPr>
      <w:r w:rsidRPr="005712EF">
        <w:rPr>
          <w:color w:val="000000"/>
          <w:u w:val="single"/>
        </w:rPr>
        <w:t xml:space="preserve">There is no such thing as </w:t>
      </w:r>
      <w:r w:rsidRPr="005712EF">
        <w:rPr>
          <w:i/>
          <w:iCs/>
          <w:color w:val="000000"/>
          <w:u w:val="single"/>
        </w:rPr>
        <w:t>the</w:t>
      </w:r>
      <w:r w:rsidRPr="005712EF">
        <w:rPr>
          <w:color w:val="000000"/>
          <w:u w:val="single"/>
        </w:rPr>
        <w:t xml:space="preserve"> Aristotelian syllogistic</w:t>
      </w:r>
    </w:p>
    <w:p w14:paraId="2A0B1C3E" w14:textId="77777777" w:rsidR="00751E16" w:rsidRDefault="00751E16" w:rsidP="00751E16">
      <w:pPr>
        <w:pStyle w:val="NormalWeb"/>
        <w:jc w:val="center"/>
        <w:rPr>
          <w:color w:val="000000"/>
          <w:lang w:val="en-US"/>
        </w:rPr>
      </w:pPr>
    </w:p>
    <w:p w14:paraId="5665EB2D" w14:textId="25377E8B" w:rsidR="00751E16" w:rsidRPr="00751E16" w:rsidRDefault="00751E16" w:rsidP="00751E16">
      <w:pPr>
        <w:pStyle w:val="NormalWeb"/>
        <w:rPr>
          <w:color w:val="000000"/>
          <w:lang w:val="en-US"/>
        </w:rPr>
      </w:pPr>
      <w:r w:rsidRPr="00751E16">
        <w:rPr>
          <w:color w:val="000000"/>
          <w:lang w:val="en-US"/>
        </w:rPr>
        <w:t>Regarding Aristotle’s logic, the dominant assumption throughout the twentieth century was that one must work through the</w:t>
      </w:r>
      <w:r w:rsidRPr="00751E16">
        <w:rPr>
          <w:rStyle w:val="apple-converted-space"/>
          <w:rFonts w:eastAsiaTheme="majorEastAsia"/>
          <w:color w:val="000000"/>
          <w:lang w:val="en-US"/>
        </w:rPr>
        <w:t xml:space="preserve"> </w:t>
      </w:r>
      <w:r w:rsidRPr="00751E16">
        <w:rPr>
          <w:rStyle w:val="Emphasis"/>
          <w:rFonts w:eastAsiaTheme="majorEastAsia"/>
          <w:color w:val="000000"/>
          <w:lang w:val="en-US"/>
        </w:rPr>
        <w:t>Prior Analytics</w:t>
      </w:r>
      <w:r w:rsidRPr="00751E16">
        <w:rPr>
          <w:rStyle w:val="apple-converted-space"/>
          <w:rFonts w:eastAsiaTheme="majorEastAsia"/>
          <w:color w:val="000000"/>
          <w:lang w:val="en-US"/>
        </w:rPr>
        <w:t xml:space="preserve"> </w:t>
      </w:r>
      <w:r w:rsidRPr="00751E16">
        <w:rPr>
          <w:color w:val="000000"/>
          <w:lang w:val="en-US"/>
        </w:rPr>
        <w:t>in order to extract the logical system corresponding to the Aristotelian syllogistic, as if the</w:t>
      </w:r>
      <w:r w:rsidRPr="00751E16">
        <w:rPr>
          <w:rStyle w:val="apple-converted-space"/>
          <w:rFonts w:eastAsiaTheme="majorEastAsia"/>
          <w:color w:val="000000"/>
          <w:lang w:val="en-US"/>
        </w:rPr>
        <w:t xml:space="preserve"> </w:t>
      </w:r>
      <w:r w:rsidRPr="00751E16">
        <w:rPr>
          <w:rStyle w:val="Emphasis"/>
          <w:rFonts w:eastAsiaTheme="majorEastAsia"/>
          <w:color w:val="000000"/>
          <w:lang w:val="en-US"/>
        </w:rPr>
        <w:t>Prior Analytics</w:t>
      </w:r>
      <w:r w:rsidRPr="00751E16">
        <w:rPr>
          <w:rStyle w:val="apple-converted-space"/>
          <w:rFonts w:eastAsiaTheme="majorEastAsia"/>
          <w:color w:val="000000"/>
          <w:lang w:val="en-US"/>
        </w:rPr>
        <w:t xml:space="preserve"> </w:t>
      </w:r>
      <w:r w:rsidRPr="00751E16">
        <w:rPr>
          <w:color w:val="000000"/>
          <w:lang w:val="en-US"/>
        </w:rPr>
        <w:t>were primarily a treatise devoted to the presentation of a single logic. In Kapantais/</w:t>
      </w:r>
      <w:proofErr w:type="spellStart"/>
      <w:r w:rsidRPr="00751E16">
        <w:rPr>
          <w:color w:val="000000"/>
          <w:lang w:val="en-US"/>
        </w:rPr>
        <w:t>Karamanolis</w:t>
      </w:r>
      <w:proofErr w:type="spellEnd"/>
      <w:r w:rsidRPr="00751E16">
        <w:rPr>
          <w:color w:val="000000"/>
          <w:lang w:val="en-US"/>
        </w:rPr>
        <w:t xml:space="preserve"> (2025) we adopt a different stance. On our view, there is no uniquely correct answer to this question, precisely because the</w:t>
      </w:r>
      <w:r w:rsidRPr="00751E16">
        <w:rPr>
          <w:rStyle w:val="apple-converted-space"/>
          <w:rFonts w:eastAsiaTheme="majorEastAsia"/>
          <w:color w:val="000000"/>
          <w:lang w:val="en-US"/>
        </w:rPr>
        <w:t xml:space="preserve"> </w:t>
      </w:r>
      <w:r w:rsidRPr="00751E16">
        <w:rPr>
          <w:rStyle w:val="Emphasis"/>
          <w:rFonts w:eastAsiaTheme="majorEastAsia"/>
          <w:color w:val="000000"/>
          <w:lang w:val="en-US"/>
        </w:rPr>
        <w:t>Prior Analytics</w:t>
      </w:r>
      <w:r w:rsidRPr="00751E16">
        <w:rPr>
          <w:rStyle w:val="apple-converted-space"/>
          <w:rFonts w:eastAsiaTheme="majorEastAsia"/>
          <w:color w:val="000000"/>
          <w:lang w:val="en-US"/>
        </w:rPr>
        <w:t xml:space="preserve"> </w:t>
      </w:r>
      <w:r w:rsidRPr="00751E16">
        <w:rPr>
          <w:color w:val="000000"/>
          <w:lang w:val="en-US"/>
        </w:rPr>
        <w:t>is not such a treatise. Rather, it is best understood as the exposition of a single central theorem, whose culmination is reached in Book I, chapter 30.</w:t>
      </w:r>
    </w:p>
    <w:p w14:paraId="5D7DBF14" w14:textId="14085595" w:rsidR="00751E16" w:rsidRPr="00751E16" w:rsidRDefault="00751E16" w:rsidP="00751E16">
      <w:pPr>
        <w:pStyle w:val="NormalWeb"/>
        <w:rPr>
          <w:color w:val="000000"/>
          <w:lang w:val="en-US"/>
        </w:rPr>
      </w:pPr>
      <w:r w:rsidRPr="00751E16">
        <w:rPr>
          <w:color w:val="000000"/>
          <w:lang w:val="en-US"/>
        </w:rPr>
        <w:t>The proof of this theorem does not rely on a single logic, but on four distinct logics operating together. The first is a pretheoretical semantic</w:t>
      </w:r>
      <w:r w:rsidR="005712EF" w:rsidRPr="005712EF">
        <w:rPr>
          <w:color w:val="000000"/>
          <w:lang w:val="en-US"/>
        </w:rPr>
        <w:t>/</w:t>
      </w:r>
      <w:r w:rsidRPr="00751E16">
        <w:rPr>
          <w:color w:val="000000"/>
          <w:lang w:val="en-US"/>
        </w:rPr>
        <w:t>logical framework that assigns truth-conditions to general statements and operates with non-formal, yet entirely reliable, contentual transformation rules for these statements</w:t>
      </w:r>
      <w:r w:rsidR="005712EF">
        <w:rPr>
          <w:color w:val="000000"/>
          <w:lang w:val="en-US"/>
        </w:rPr>
        <w:t xml:space="preserve"> under these truth-conditions</w:t>
      </w:r>
      <w:r w:rsidRPr="00751E16">
        <w:rPr>
          <w:color w:val="000000"/>
          <w:lang w:val="en-US"/>
        </w:rPr>
        <w:t xml:space="preserve">. From a modern perspective, this framework functions as the metatheory of </w:t>
      </w:r>
      <w:r w:rsidR="00C90DF6">
        <w:rPr>
          <w:color w:val="000000"/>
          <w:lang w:val="en-US"/>
        </w:rPr>
        <w:t xml:space="preserve">the </w:t>
      </w:r>
      <w:r>
        <w:rPr>
          <w:color w:val="000000"/>
          <w:lang w:val="en-US"/>
        </w:rPr>
        <w:t>entire proof</w:t>
      </w:r>
      <w:r w:rsidRPr="00751E16">
        <w:rPr>
          <w:color w:val="000000"/>
          <w:lang w:val="en-US"/>
        </w:rPr>
        <w:t xml:space="preserve">. The second is a quasi-formal deductive system which, if fully formalized, coincides with the </w:t>
      </w:r>
      <w:r w:rsidR="005712EF">
        <w:rPr>
          <w:color w:val="000000"/>
          <w:lang w:val="en-US"/>
        </w:rPr>
        <w:t>s</w:t>
      </w:r>
      <w:r w:rsidRPr="00751E16">
        <w:rPr>
          <w:color w:val="000000"/>
          <w:lang w:val="en-US"/>
        </w:rPr>
        <w:t>yllogistic as construed by Corcoran</w:t>
      </w:r>
      <w:r w:rsidR="005712EF">
        <w:rPr>
          <w:color w:val="000000"/>
          <w:lang w:val="en-US"/>
        </w:rPr>
        <w:t xml:space="preserve"> (1973)</w:t>
      </w:r>
      <w:r w:rsidRPr="00751E16">
        <w:rPr>
          <w:color w:val="000000"/>
          <w:lang w:val="en-US"/>
        </w:rPr>
        <w:t xml:space="preserve"> and Smiley</w:t>
      </w:r>
      <w:r w:rsidR="005712EF">
        <w:rPr>
          <w:color w:val="000000"/>
          <w:lang w:val="en-US"/>
        </w:rPr>
        <w:t xml:space="preserve"> (1973)</w:t>
      </w:r>
      <w:r w:rsidRPr="00751E16">
        <w:rPr>
          <w:color w:val="000000"/>
          <w:lang w:val="en-US"/>
        </w:rPr>
        <w:t xml:space="preserve">. The third is another quasi-formal system, corresponding to the scholastic syllogistic of </w:t>
      </w:r>
      <w:r w:rsidR="005712EF">
        <w:rPr>
          <w:color w:val="000000"/>
          <w:lang w:val="en-US"/>
        </w:rPr>
        <w:t xml:space="preserve">the </w:t>
      </w:r>
      <w:r w:rsidRPr="00751E16">
        <w:rPr>
          <w:color w:val="000000"/>
          <w:lang w:val="en-US"/>
        </w:rPr>
        <w:t xml:space="preserve">three figures and fourteen </w:t>
      </w:r>
      <w:r w:rsidR="006A1DBA">
        <w:rPr>
          <w:color w:val="000000"/>
          <w:lang w:val="en-US"/>
        </w:rPr>
        <w:t>syllogisms</w:t>
      </w:r>
      <w:r w:rsidRPr="00751E16">
        <w:rPr>
          <w:color w:val="000000"/>
          <w:lang w:val="en-US"/>
        </w:rPr>
        <w:t xml:space="preserve">. The fourth is the operational counterpart of the third: the notorious </w:t>
      </w:r>
      <w:r w:rsidRPr="00751E16">
        <w:rPr>
          <w:i/>
          <w:iCs/>
          <w:color w:val="000000"/>
          <w:lang w:val="en-US"/>
        </w:rPr>
        <w:t>pons asinorum</w:t>
      </w:r>
      <w:r w:rsidRPr="00751E16">
        <w:rPr>
          <w:color w:val="000000"/>
          <w:lang w:val="en-US"/>
        </w:rPr>
        <w:t xml:space="preserve"> machine. </w:t>
      </w:r>
    </w:p>
    <w:p w14:paraId="43102091" w14:textId="16DF7EAF" w:rsidR="00751E16" w:rsidRDefault="00751E16" w:rsidP="00751E16">
      <w:pPr>
        <w:pStyle w:val="NormalWeb"/>
        <w:rPr>
          <w:color w:val="000000"/>
          <w:lang w:val="en-US"/>
        </w:rPr>
      </w:pPr>
      <w:r w:rsidRPr="00751E16">
        <w:rPr>
          <w:color w:val="000000"/>
          <w:lang w:val="en-US"/>
        </w:rPr>
        <w:t>Crucially, these four logics are not laid out paratactically. They are interwoven and jointly operative, with the result that in I.30 the</w:t>
      </w:r>
      <w:r w:rsidRPr="00751E16">
        <w:rPr>
          <w:rStyle w:val="apple-converted-space"/>
          <w:rFonts w:eastAsiaTheme="majorEastAsia"/>
          <w:color w:val="000000"/>
          <w:lang w:val="en-US"/>
        </w:rPr>
        <w:t xml:space="preserve"> </w:t>
      </w:r>
      <w:r w:rsidRPr="00751E16">
        <w:rPr>
          <w:rStyle w:val="Emphasis"/>
          <w:rFonts w:eastAsiaTheme="majorEastAsia"/>
          <w:color w:val="000000"/>
          <w:lang w:val="en-US"/>
        </w:rPr>
        <w:t>pons asinorum</w:t>
      </w:r>
      <w:r w:rsidRPr="00751E16">
        <w:rPr>
          <w:rStyle w:val="apple-converted-space"/>
          <w:rFonts w:eastAsiaTheme="majorEastAsia"/>
          <w:color w:val="000000"/>
          <w:lang w:val="en-US"/>
        </w:rPr>
        <w:t xml:space="preserve"> </w:t>
      </w:r>
      <w:r w:rsidRPr="00751E16">
        <w:rPr>
          <w:color w:val="000000"/>
          <w:lang w:val="en-US"/>
        </w:rPr>
        <w:t>is shown to be entirely reliable, because it is founded upon the traditional syllogistic, which is founded upon the syllogistic</w:t>
      </w:r>
      <w:r>
        <w:rPr>
          <w:color w:val="000000"/>
          <w:lang w:val="en-US"/>
        </w:rPr>
        <w:t xml:space="preserve"> of Corcoran and Smiley</w:t>
      </w:r>
      <w:r w:rsidRPr="00751E16">
        <w:rPr>
          <w:color w:val="000000"/>
          <w:lang w:val="en-US"/>
        </w:rPr>
        <w:t xml:space="preserve">, which is founded upon </w:t>
      </w:r>
      <w:r>
        <w:rPr>
          <w:color w:val="000000"/>
          <w:lang w:val="en-US"/>
        </w:rPr>
        <w:t xml:space="preserve">an </w:t>
      </w:r>
      <w:r w:rsidRPr="00751E16">
        <w:rPr>
          <w:color w:val="000000"/>
          <w:lang w:val="en-US"/>
        </w:rPr>
        <w:t>entirely</w:t>
      </w:r>
      <w:r>
        <w:rPr>
          <w:color w:val="000000"/>
          <w:lang w:val="en-US"/>
        </w:rPr>
        <w:t xml:space="preserve"> reliable metatheory</w:t>
      </w:r>
      <w:r w:rsidRPr="00751E16">
        <w:rPr>
          <w:color w:val="000000"/>
          <w:lang w:val="en-US"/>
        </w:rPr>
        <w:t>.</w:t>
      </w:r>
    </w:p>
    <w:p w14:paraId="2888DBB1" w14:textId="77777777" w:rsidR="00BD5AEE" w:rsidRDefault="00BD5AEE" w:rsidP="00BD5AEE">
      <w:pPr>
        <w:pStyle w:val="NormalWeb"/>
        <w:rPr>
          <w:color w:val="000000"/>
        </w:rPr>
      </w:pPr>
    </w:p>
    <w:p w14:paraId="5B67B7BD" w14:textId="6D1A645B" w:rsidR="00BD5AEE" w:rsidRDefault="00BD5AEE" w:rsidP="00BD5AEE">
      <w:pPr>
        <w:pStyle w:val="NormalWeb"/>
        <w:rPr>
          <w:color w:val="000000"/>
        </w:rPr>
      </w:pPr>
      <w:r w:rsidRPr="00BD5AEE">
        <w:rPr>
          <w:color w:val="000000"/>
        </w:rPr>
        <w:t xml:space="preserve">Corcoran, J. (1973), </w:t>
      </w:r>
      <w:r>
        <w:rPr>
          <w:color w:val="000000"/>
        </w:rPr>
        <w:t>“</w:t>
      </w:r>
      <w:r w:rsidRPr="00BD5AEE">
        <w:rPr>
          <w:color w:val="000000"/>
        </w:rPr>
        <w:t>A Mathematical Model of Aristotle’s Syllogistic</w:t>
      </w:r>
      <w:r>
        <w:rPr>
          <w:color w:val="000000"/>
        </w:rPr>
        <w:t>,”</w:t>
      </w:r>
      <w:r w:rsidRPr="00BD5AEE">
        <w:rPr>
          <w:color w:val="000000"/>
        </w:rPr>
        <w:t xml:space="preserve"> </w:t>
      </w:r>
      <w:r w:rsidRPr="00BD5AEE">
        <w:rPr>
          <w:i/>
          <w:iCs/>
          <w:color w:val="000000"/>
        </w:rPr>
        <w:t xml:space="preserve">Archiv für Geschichte der Philosophie </w:t>
      </w:r>
      <w:r w:rsidRPr="00BD5AEE">
        <w:rPr>
          <w:color w:val="000000"/>
        </w:rPr>
        <w:t>55</w:t>
      </w:r>
      <w:r>
        <w:rPr>
          <w:color w:val="000000"/>
        </w:rPr>
        <w:t>:</w:t>
      </w:r>
      <w:r w:rsidRPr="00BD5AEE">
        <w:rPr>
          <w:color w:val="000000"/>
        </w:rPr>
        <w:t xml:space="preserve"> 191-219.</w:t>
      </w:r>
    </w:p>
    <w:p w14:paraId="34CCD2B4" w14:textId="27A1BE11" w:rsidR="00BD5AEE" w:rsidRPr="00BD5AEE" w:rsidRDefault="00BD5AEE" w:rsidP="00BD5AEE">
      <w:pPr>
        <w:pStyle w:val="NormalWeb"/>
        <w:rPr>
          <w:color w:val="000000"/>
          <w:lang w:val="en-US"/>
        </w:rPr>
      </w:pPr>
      <w:r>
        <w:rPr>
          <w:color w:val="000000"/>
          <w:lang w:val="en-US"/>
        </w:rPr>
        <w:t xml:space="preserve">Kapantais, D. / </w:t>
      </w:r>
      <w:proofErr w:type="spellStart"/>
      <w:r>
        <w:rPr>
          <w:color w:val="000000"/>
          <w:lang w:val="en-US"/>
        </w:rPr>
        <w:t>Karamanolis</w:t>
      </w:r>
      <w:proofErr w:type="spellEnd"/>
      <w:r>
        <w:rPr>
          <w:color w:val="000000"/>
          <w:lang w:val="en-US"/>
        </w:rPr>
        <w:t xml:space="preserve"> G. eds. (2025), </w:t>
      </w:r>
      <w:r>
        <w:rPr>
          <w:i/>
          <w:iCs/>
          <w:color w:val="000000"/>
          <w:lang w:val="en-US"/>
        </w:rPr>
        <w:t>Aristotle: The Prior Analytics, Book 1, chapters 1-22</w:t>
      </w:r>
      <w:r>
        <w:rPr>
          <w:color w:val="000000"/>
          <w:lang w:val="en-US"/>
        </w:rPr>
        <w:t>, Athens – in modern Greek.</w:t>
      </w:r>
    </w:p>
    <w:p w14:paraId="72337C02" w14:textId="5A8F7649" w:rsidR="0041172A" w:rsidRPr="005712EF" w:rsidRDefault="005712EF" w:rsidP="005712EF">
      <w:pPr>
        <w:rPr>
          <w:rFonts w:ascii="Times New Roman" w:eastAsia="Times New Roman" w:hAnsi="Times New Roman" w:cs="Times New Roman"/>
          <w:color w:val="000000"/>
          <w:lang w:eastAsia="en-GB"/>
        </w:rPr>
      </w:pPr>
      <w:r w:rsidRPr="005712EF">
        <w:rPr>
          <w:rFonts w:ascii="Times New Roman" w:eastAsia="Times New Roman" w:hAnsi="Times New Roman" w:cs="Times New Roman"/>
          <w:color w:val="000000"/>
          <w:lang w:eastAsia="en-GB"/>
        </w:rPr>
        <w:t xml:space="preserve">Smiley, T. (1973), </w:t>
      </w:r>
      <w:r>
        <w:rPr>
          <w:rFonts w:ascii="Times New Roman" w:eastAsia="Times New Roman" w:hAnsi="Times New Roman" w:cs="Times New Roman"/>
          <w:color w:val="000000"/>
          <w:lang w:eastAsia="en-GB"/>
        </w:rPr>
        <w:t>“</w:t>
      </w:r>
      <w:r w:rsidRPr="005712EF">
        <w:rPr>
          <w:rFonts w:ascii="Times New Roman" w:eastAsia="Times New Roman" w:hAnsi="Times New Roman" w:cs="Times New Roman"/>
          <w:color w:val="000000"/>
          <w:lang w:eastAsia="en-GB"/>
        </w:rPr>
        <w:t>What Ιs a Syllogism?</w:t>
      </w:r>
      <w:r>
        <w:rPr>
          <w:rFonts w:ascii="Times New Roman" w:eastAsia="Times New Roman" w:hAnsi="Times New Roman" w:cs="Times New Roman"/>
          <w:color w:val="000000"/>
          <w:lang w:eastAsia="en-GB"/>
        </w:rPr>
        <w:t>”</w:t>
      </w:r>
      <w:r w:rsidRPr="005712EF">
        <w:rPr>
          <w:rFonts w:ascii="Times New Roman" w:eastAsia="Times New Roman" w:hAnsi="Times New Roman" w:cs="Times New Roman"/>
          <w:color w:val="000000"/>
          <w:lang w:eastAsia="en-GB"/>
        </w:rPr>
        <w:t xml:space="preserve">, </w:t>
      </w:r>
      <w:r w:rsidRPr="005712EF">
        <w:rPr>
          <w:rFonts w:ascii="Times New Roman" w:eastAsia="Times New Roman" w:hAnsi="Times New Roman" w:cs="Times New Roman"/>
          <w:i/>
          <w:iCs/>
          <w:color w:val="000000"/>
          <w:lang w:eastAsia="en-GB"/>
        </w:rPr>
        <w:t>Journal of Philosophical Logic</w:t>
      </w:r>
      <w:r w:rsidRPr="005712EF">
        <w:rPr>
          <w:rFonts w:ascii="Times New Roman" w:eastAsia="Times New Roman" w:hAnsi="Times New Roman" w:cs="Times New Roman"/>
          <w:color w:val="000000"/>
          <w:lang w:eastAsia="en-GB"/>
        </w:rPr>
        <w:t xml:space="preserve"> 2</w:t>
      </w:r>
      <w:r>
        <w:rPr>
          <w:rFonts w:ascii="Times New Roman" w:eastAsia="Times New Roman" w:hAnsi="Times New Roman" w:cs="Times New Roman"/>
          <w:color w:val="000000"/>
          <w:lang w:eastAsia="en-GB"/>
        </w:rPr>
        <w:t xml:space="preserve">: </w:t>
      </w:r>
      <w:r w:rsidRPr="005712EF">
        <w:rPr>
          <w:rFonts w:ascii="Times New Roman" w:eastAsia="Times New Roman" w:hAnsi="Times New Roman" w:cs="Times New Roman"/>
          <w:color w:val="000000"/>
          <w:lang w:eastAsia="en-GB"/>
        </w:rPr>
        <w:t>136-154</w:t>
      </w:r>
      <w:r>
        <w:rPr>
          <w:rFonts w:ascii="Times New Roman" w:eastAsia="Times New Roman" w:hAnsi="Times New Roman" w:cs="Times New Roman"/>
          <w:color w:val="000000"/>
          <w:lang w:eastAsia="en-GB"/>
        </w:rPr>
        <w:t>.</w:t>
      </w:r>
    </w:p>
    <w:sectPr w:rsidR="0041172A" w:rsidRPr="005712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E16"/>
    <w:rsid w:val="0041172A"/>
    <w:rsid w:val="00482C18"/>
    <w:rsid w:val="004F337F"/>
    <w:rsid w:val="005712EF"/>
    <w:rsid w:val="00687287"/>
    <w:rsid w:val="006A1DBA"/>
    <w:rsid w:val="00751E16"/>
    <w:rsid w:val="00765C77"/>
    <w:rsid w:val="0083227E"/>
    <w:rsid w:val="008F2E9F"/>
    <w:rsid w:val="009E6126"/>
    <w:rsid w:val="00A75B43"/>
    <w:rsid w:val="00B07C7B"/>
    <w:rsid w:val="00BD5AEE"/>
    <w:rsid w:val="00C90DF6"/>
    <w:rsid w:val="00E3087D"/>
    <w:rsid w:val="00E60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8471480"/>
  <w15:chartTrackingRefBased/>
  <w15:docId w15:val="{B708604B-E3C8-E54B-9A23-BD0BCB857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1E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1E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1E1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1E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1E1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1E1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1E1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1E1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1E1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1E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1E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1E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1E1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1E1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1E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1E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1E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1E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1E1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1E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1E1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1E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1E1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1E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1E1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1E1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1E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1E1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1E1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51E16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apple-converted-space">
    <w:name w:val="apple-converted-space"/>
    <w:basedOn w:val="DefaultParagraphFont"/>
    <w:rsid w:val="00751E16"/>
  </w:style>
  <w:style w:type="character" w:styleId="Emphasis">
    <w:name w:val="Emphasis"/>
    <w:basedOn w:val="DefaultParagraphFont"/>
    <w:uiPriority w:val="20"/>
    <w:qFormat/>
    <w:rsid w:val="00751E1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330</Words>
  <Characters>1886</Characters>
  <Application>Microsoft Office Word</Application>
  <DocSecurity>0</DocSecurity>
  <Lines>15</Lines>
  <Paragraphs>4</Paragraphs>
  <ScaleCrop>false</ScaleCrop>
  <Company/>
  <LinksUpToDate>false</LinksUpToDate>
  <CharactersWithSpaces>2212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Kapantais Doukas</dc:creator>
  <cp:keywords/>
  <dc:description/>
  <cp:lastModifiedBy>Kapantais Doukas</cp:lastModifiedBy>
  <cp:revision>3</cp:revision>
  <dcterms:created xsi:type="dcterms:W3CDTF">2026-01-07T12:40:00Z</dcterms:created>
  <dcterms:modified xsi:type="dcterms:W3CDTF">2026-01-12T09:55:00Z</dcterms:modified>
</cp:coreProperties>
</file>